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36965" w14:textId="77777777" w:rsidR="003B514A" w:rsidRPr="003B514A" w:rsidRDefault="00000000" w:rsidP="003B51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CE19CC8">
          <v:rect id="_x0000_i1025" style="width:0;height:1.5pt" o:hralign="center" o:hrstd="t" o:hr="t" fillcolor="#a0a0a0" stroked="f"/>
        </w:pict>
      </w:r>
    </w:p>
    <w:p w14:paraId="166F29B3" w14:textId="77777777" w:rsidR="003B514A" w:rsidRDefault="003B514A" w:rsidP="003B5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en-GB"/>
          <w14:ligatures w14:val="none"/>
        </w:rPr>
      </w:pPr>
      <w:r w:rsidRPr="003B51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Author’s foreword – </w:t>
      </w:r>
      <w:r w:rsidRPr="003B514A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en-GB"/>
          <w14:ligatures w14:val="none"/>
        </w:rPr>
        <w:t>Dual-Optics Parallax</w:t>
      </w:r>
    </w:p>
    <w:p w14:paraId="3731513C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Oral–Sinonasal–Ear Microbiome</w:t>
      </w:r>
    </w:p>
    <w:p w14:paraId="7A064AED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Hypothesis–Risk Framework</w:t>
      </w:r>
    </w:p>
    <w:p w14:paraId="5E75680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Field-Derived Position Paper · v2.5 · August 2026</w:t>
      </w:r>
    </w:p>
    <w:p w14:paraId="592486D2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Jeff Charlton CIEC, MCIEH — Building Forensics Ltd</w:t>
      </w:r>
    </w:p>
    <w:p w14:paraId="6954FB8E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E4F8C59">
          <v:rect id="_x0000_i1054" style="width:0;height:1.5pt" o:hralign="center" o:hrstd="t" o:hr="t" fillcolor="#a0a0a0" stroked="f"/>
        </w:pict>
      </w:r>
    </w:p>
    <w:p w14:paraId="7C436B8C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Author’s Foreword – Dual-Optics Parallax</w:t>
      </w:r>
    </w:p>
    <w:p w14:paraId="4181C87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Thirty-five years of investigating water-damaged buildings (WDBs) have convinced me that a purely spore-centric model does not adequately explain the combination of respiratory, inflammatory, neuro-immune and cognitive complaints encountered in some occupants.</w:t>
      </w:r>
    </w:p>
    <w:p w14:paraId="2AF3E7E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Building investigation traditionally concentrates on the environment: moisture, microbial reservoirs, fungal growth, particulates, endotoxin, β-glucan and other potential exposure sources.</w:t>
      </w:r>
    </w:p>
    <w:p w14:paraId="6A135F2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Clinical investigation, by contrast, concentrates on the individual: symptoms, immune response, infection, inflammation and disease.</w:t>
      </w:r>
    </w:p>
    <w:p w14:paraId="04355E4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propose that these two perspectives should sometimes be considered together.</w:t>
      </w:r>
    </w:p>
    <w:p w14:paraId="0E6E120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describe this approach as a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Dual-Optics Parallax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examining building science and host biology simultaneously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order to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identify relationships that may be missed when either is considered in isolation.</w:t>
      </w:r>
    </w:p>
    <w:p w14:paraId="2FB72AC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One potentially important but insufficiently investigated component is the oral–sinonasal–ear microbiome.</w:t>
      </w:r>
    </w:p>
    <w:p w14:paraId="20F1EF83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microbial communities occupy the interface between inhaled environmental exposure, the respiratory tract and the host immune system. They may therefore warrant investigation as a possible modifier or amplifier of persistent inflammatory exposure.</w:t>
      </w:r>
    </w:p>
    <w:p w14:paraId="7C7E43C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paper does not claim that this pathway has been proved.</w:t>
      </w:r>
    </w:p>
    <w:p w14:paraId="12FB7600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sets out the evidence supporting its biological plausibility, identifies the substantial evidence gaps that remain, and proposes a framework through which the hypothesis could be properly tested.</w:t>
      </w:r>
    </w:p>
    <w:p w14:paraId="53EA9AC4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CC7EF66">
          <v:rect id="_x0000_i1055" style="width:0;height:1.5pt" o:hralign="center" o:hrstd="t" o:hr="t" fillcolor="#a0a0a0" stroked="f"/>
        </w:pict>
      </w:r>
    </w:p>
    <w:p w14:paraId="6A4036F4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Simplified Overview</w:t>
      </w:r>
    </w:p>
    <w:p w14:paraId="3C89221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There is currently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 evidence establishing that oral or sinonasal microbial dysbiosis causes CIRS, PANS/PANDAS, Parkinson’s disease, dementia or other neurological disease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EE3C20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 can an oral or sinonasal swab determine that organisms detected in an individual originated from a water-damaged building.</w:t>
      </w:r>
    </w:p>
    <w:p w14:paraId="15857B0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There are, however, several bodies of evidence that deserve to be considered together.</w:t>
      </w:r>
    </w:p>
    <w:p w14:paraId="3CCEA36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Research indicates that:</w:t>
      </w:r>
    </w:p>
    <w:p w14:paraId="5E60502E" w14:textId="77777777" w:rsidR="00552DA0" w:rsidRPr="00552DA0" w:rsidRDefault="00552DA0" w:rsidP="00552D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occupants of water-damaged or microbially contaminated buildings may experience exposure to fungal particles, β-glucans, endotoxin and other biologically active material capable of producing upper-airway inflammation;</w:t>
      </w:r>
    </w:p>
    <w:p w14:paraId="2FF0EEC5" w14:textId="77777777" w:rsidR="00552DA0" w:rsidRPr="00552DA0" w:rsidRDefault="00552DA0" w:rsidP="00552D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oral and sinonasal microbiomes can become </w:t>
      </w: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dysbiotic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4904D149" w14:textId="77777777" w:rsidR="00552DA0" w:rsidRPr="00552DA0" w:rsidRDefault="00552DA0" w:rsidP="00552D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certain oral microorganisms and their products are associated experimentally with inflammatory, vascular, blood–brain-barrier and neurodegenerative pathways;</w:t>
      </w:r>
    </w:p>
    <w:p w14:paraId="58DDAF91" w14:textId="77777777" w:rsidR="00552DA0" w:rsidRPr="00552DA0" w:rsidRDefault="00552DA0" w:rsidP="00552D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conditions can influence respiratory and airway microbial communities; and</w:t>
      </w:r>
    </w:p>
    <w:p w14:paraId="4BA5238B" w14:textId="77777777" w:rsidR="00552DA0" w:rsidRPr="00552DA0" w:rsidRDefault="00552DA0" w:rsidP="00552D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persistent microbial biofilms may provide continuing inflammatory stimulation even after the initiating exposure has changed.</w:t>
      </w:r>
    </w:p>
    <w:p w14:paraId="19516B7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What has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 yet been adequately investigated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 whether these observations form part of a connected pathway in some occupants of water-damaged buildings.</w:t>
      </w:r>
    </w:p>
    <w:p w14:paraId="63951B4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central question explored in this paper is therefore:</w:t>
      </w:r>
    </w:p>
    <w:p w14:paraId="6A45866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Could chronic environmental exposure contribute to alteration or persistence of the oral–sinonasal microbiome, and could that dysbiosis subsequently act as an additional inflammatory amplifier in susceptible individuals?</w:t>
      </w:r>
    </w:p>
    <w:p w14:paraId="084316E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is a hypothesis requiring prospective investigation, not a statement of established causation.</w:t>
      </w:r>
    </w:p>
    <w:p w14:paraId="10D2A02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microbiome swab should therefore be regarded as a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research-use adjunct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potentially adding another piece of information to the overall exposure and host-response picture.</w:t>
      </w:r>
    </w:p>
    <w:p w14:paraId="7B575BF2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Research-use limitation</w:t>
      </w:r>
    </w:p>
    <w:p w14:paraId="616F5A4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 oral or sinonasal microbiome swab does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diagnose environmental illness, neurological disease, CIRS, PANS/PANDAS, blood–brain-barrier dysfunction or the environmental source of organisms detected.</w:t>
      </w:r>
    </w:p>
    <w:p w14:paraId="07E86B3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Abnormal findings may support referral for conventional dental, periodontal, ENT or other appropriate clinical assessment.</w:t>
      </w:r>
    </w:p>
    <w:p w14:paraId="7A668AC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Environmental investigation answers a separate question: whether significant microbial or other biological exposure is present within a building.</w:t>
      </w:r>
    </w:p>
    <w:p w14:paraId="4AE7C88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Such findings should be interpreted alongside inspection, moisture assessment, exposure history and other environmental evidence.</w:t>
      </w:r>
    </w:p>
    <w:p w14:paraId="39054FE4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D37F751">
          <v:rect id="_x0000_i1056" style="width:0;height:1.5pt" o:hralign="center" o:hrstd="t" o:hr="t" fillcolor="#a0a0a0" stroked="f"/>
        </w:pict>
      </w:r>
    </w:p>
    <w:p w14:paraId="1BD6BE0A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Expanded Abstract</w:t>
      </w:r>
    </w:p>
    <w:p w14:paraId="184541C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Three substantially independent areas of research provide the basis for this hypothesis.</w:t>
      </w:r>
    </w:p>
    <w:p w14:paraId="33FA29D8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Water-damaged buildings and upper-airway inflammation</w:t>
      </w:r>
    </w:p>
    <w:p w14:paraId="1F240B2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Exposure to components of damp or microbially contaminated indoor environments, including endotoxin and fungal β-glucans, has been associated with inflammatory responses within the upper respiratory tract.</w:t>
      </w:r>
    </w:p>
    <w:p w14:paraId="44CD90AB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Oral microorganisms, inflammatory pathways and neurological relevance</w:t>
      </w:r>
    </w:p>
    <w:p w14:paraId="1D33C95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Experimental evidence involving organisms including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Porphyromonas gingivalis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Treponema </w:t>
      </w:r>
      <w:proofErr w:type="spellStart"/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denticola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demonstrates biological mechanisms capable of influencing systemic inflammation, endothelial integrity and neurological pathways.</w:t>
      </w:r>
    </w:p>
    <w:p w14:paraId="66C0B512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Certain microbial products and fungal metabolites have also demonstrated effects on blood–brain-barrier models under experimental conditions.</w:t>
      </w:r>
    </w:p>
    <w:p w14:paraId="09EF6DE7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findings establish biological plausibility but do not establish that environmental exposure caused the oral organisms or that the pathway occurs clinically in occupants of water-damaged buildings.</w:t>
      </w:r>
    </w:p>
    <w:p w14:paraId="4157DBC8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Environmental exposure and airway microbiome change</w:t>
      </w:r>
    </w:p>
    <w:p w14:paraId="62976F9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Studies from other high-bioaerosol environments demonstrate that environmental exposure can influence respiratory microbial communities over relatively short periods.</w:t>
      </w:r>
    </w:p>
    <w:p w14:paraId="66A07E7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 equivalent high-quality longitudinal study has yet demonstrated the complete pathway in occupants of water-damaged buildings.</w:t>
      </w:r>
    </w:p>
    <w:p w14:paraId="3621A00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Taken together, these separate findings support investigation of a model in which persistent oral–sinonasal dysbiosis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may act as an inflammatory amplifier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 some environmentally exposed individuals.</w:t>
      </w:r>
    </w:p>
    <w:p w14:paraId="43054133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proposed framework considers organisms including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P. gingivalis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T. </w:t>
      </w:r>
      <w:proofErr w:type="spellStart"/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denticola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Candida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spp. and selected staphylococcal populations, together with measures of environmental microbial exposure.</w:t>
      </w:r>
    </w:p>
    <w:p w14:paraId="3BA329C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The model does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propose that these organisms are specific markers of water-damaged-building exposure.</w:t>
      </w:r>
    </w:p>
    <w:p w14:paraId="7D859DF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Instead, simultaneous host and environmental investigation may help determine whether relationships exist between:</w:t>
      </w:r>
    </w:p>
    <w:p w14:paraId="0A0ADAB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environmental exposure → airway or oral microbial alteration → persistent inflammation → systemic or neuro-immune effects.</w:t>
      </w:r>
    </w:p>
    <w:p w14:paraId="5D745B7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Routine clinical use cannot yet be justified from the available evidence.</w:t>
      </w:r>
    </w:p>
    <w:p w14:paraId="53E4DF2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immediate purpose is hypothesis generation, risk identification and development of a prospective research programme capable of testing the proposed pathway.</w:t>
      </w:r>
    </w:p>
    <w:p w14:paraId="0E51EAF5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717C168">
          <v:rect id="_x0000_i1057" style="width:0;height:1.5pt" o:hralign="center" o:hrstd="t" o:hr="t" fillcolor="#a0a0a0" stroked="f"/>
        </w:pict>
      </w:r>
    </w:p>
    <w:p w14:paraId="77AF8248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1. Introduction</w:t>
      </w:r>
    </w:p>
    <w:p w14:paraId="2325F6B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Cohorts reporting illness associated with water-damaged buildings describe symptoms extending beyond conventional respiratory effects [1].</w:t>
      </w:r>
    </w:p>
    <w:p w14:paraId="0276E6B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Inhalation and deposition provide direct routes through which airborne particles and biologically active material may reach the nose, mouth, nasopharynx and associated upper-airway structures.</w:t>
      </w:r>
    </w:p>
    <w:p w14:paraId="267D7CE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surfaces are not sterile.</w:t>
      </w:r>
    </w:p>
    <w:p w14:paraId="372C9663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They contain complex microbial communities that interact continuously with mucosal immunity.</w:t>
      </w:r>
    </w:p>
    <w:p w14:paraId="44922BD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raises an important question that has received comparatively little attention in water-damaged-building investigation:</w:t>
      </w:r>
    </w:p>
    <w:p w14:paraId="36A94CD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Does persistent environmental exposure alter the microbial ecology of these sites, and can an altered microbiome continue to influence inflammatory signalling after exposure has occurred?</w:t>
      </w:r>
    </w:p>
    <w:p w14:paraId="17F6D87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 illustrative oral microbiome swab obtained from a WDB occupant showed elevated quantities of selected periodontal organisms and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Candida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together with relatively low lactobacilli.</w:t>
      </w:r>
    </w:p>
    <w:p w14:paraId="73DAEB5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single result cannot establish prevalence, causation or environmental origin.</w:t>
      </w:r>
    </w:p>
    <w:p w14:paraId="3083B64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nevertheless provides an appropriate field observation from which a testable research hypothesis can be developed.</w:t>
      </w:r>
    </w:p>
    <w:p w14:paraId="47F4D939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5638A98">
          <v:rect id="_x0000_i1058" style="width:0;height:1.5pt" o:hralign="center" o:hrstd="t" o:hr="t" fillcolor="#a0a0a0" stroked="f"/>
        </w:pict>
      </w:r>
    </w:p>
    <w:p w14:paraId="173E3D38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2. Methodology</w:t>
      </w:r>
    </w:p>
    <w:p w14:paraId="49BF5B32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position presented in this paper was developed using:</w:t>
      </w:r>
    </w:p>
    <w:p w14:paraId="4D1A5C70" w14:textId="77777777" w:rsidR="00552DA0" w:rsidRPr="00552DA0" w:rsidRDefault="00552DA0" w:rsidP="00552D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literature searches covering 2000–2026;</w:t>
      </w:r>
    </w:p>
    <w:p w14:paraId="07591546" w14:textId="77777777" w:rsidR="00552DA0" w:rsidRPr="00552DA0" w:rsidRDefault="00552DA0" w:rsidP="00552D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search terms including “water-damaged building”, “oral microbiome”, “nasal microbiome”, “β-glucan”, “endotoxin”, “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P. gingivalis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 and “blood brain barrier”;</w:t>
      </w:r>
    </w:p>
    <w:p w14:paraId="7F91D712" w14:textId="77777777" w:rsidR="00552DA0" w:rsidRPr="00552DA0" w:rsidRDefault="00552DA0" w:rsidP="00552D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separation of evidence into direct and indirect categories;</w:t>
      </w:r>
    </w:p>
    <w:p w14:paraId="18F4DA08" w14:textId="77777777" w:rsidR="00552DA0" w:rsidRPr="00552DA0" w:rsidRDefault="00552DA0" w:rsidP="00552D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comparison with research from other environmental bioaerosol exposures;</w:t>
      </w:r>
    </w:p>
    <w:p w14:paraId="045D2E91" w14:textId="77777777" w:rsidR="00552DA0" w:rsidRPr="00552DA0" w:rsidRDefault="00552DA0" w:rsidP="00552D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review of a field-derived microbiome result; and</w:t>
      </w:r>
    </w:p>
    <w:p w14:paraId="05D012FF" w14:textId="77777777" w:rsidR="00552DA0" w:rsidRPr="00552DA0" w:rsidRDefault="00552DA0" w:rsidP="00552D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identification of the missing studies required to test the proposed pathway.</w:t>
      </w:r>
    </w:p>
    <w:p w14:paraId="1A757B75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Evidence has deliberately been distinguished according to the strength and directness with which it supports the central hypothesis.</w:t>
      </w:r>
    </w:p>
    <w:p w14:paraId="280E0189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6C8E4EE">
          <v:rect id="_x0000_i1059" style="width:0;height:1.5pt" o:hralign="center" o:hrstd="t" o:hr="t" fillcolor="#a0a0a0" stroked="f"/>
        </w:pict>
      </w:r>
    </w:p>
    <w:p w14:paraId="3C5DA9EE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 Evidence Chain</w:t>
      </w:r>
    </w:p>
    <w:p w14:paraId="704CDC09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Table 1. Graded evidence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4721"/>
        <w:gridCol w:w="1862"/>
        <w:gridCol w:w="495"/>
      </w:tblGrid>
      <w:tr w:rsidR="00552DA0" w:rsidRPr="00552DA0" w14:paraId="63D28B0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A23789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Link</w:t>
            </w:r>
          </w:p>
        </w:tc>
        <w:tc>
          <w:tcPr>
            <w:tcW w:w="0" w:type="auto"/>
            <w:vAlign w:val="center"/>
            <w:hideMark/>
          </w:tcPr>
          <w:p w14:paraId="1D395CC3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Key findings</w:t>
            </w:r>
          </w:p>
        </w:tc>
        <w:tc>
          <w:tcPr>
            <w:tcW w:w="0" w:type="auto"/>
            <w:vAlign w:val="center"/>
            <w:hideMark/>
          </w:tcPr>
          <w:p w14:paraId="3CA85E16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Evidence level</w:t>
            </w:r>
          </w:p>
        </w:tc>
        <w:tc>
          <w:tcPr>
            <w:tcW w:w="0" w:type="auto"/>
            <w:vAlign w:val="center"/>
            <w:hideMark/>
          </w:tcPr>
          <w:p w14:paraId="222E4324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Ref.</w:t>
            </w:r>
          </w:p>
        </w:tc>
      </w:tr>
      <w:tr w:rsidR="00552DA0" w:rsidRPr="00552DA0" w14:paraId="7C376E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D5CCC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WDB → upper-airway inflammation</w:t>
            </w:r>
          </w:p>
        </w:tc>
        <w:tc>
          <w:tcPr>
            <w:tcW w:w="0" w:type="auto"/>
            <w:vAlign w:val="center"/>
            <w:hideMark/>
          </w:tcPr>
          <w:p w14:paraId="2A4DC73E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Dust endotoxin and fungal β-glucan have been associated with nasal inflammatory responses and altered mucus characteristics in exposed occupants.</w:t>
            </w:r>
          </w:p>
        </w:tc>
        <w:tc>
          <w:tcPr>
            <w:tcW w:w="0" w:type="auto"/>
            <w:vAlign w:val="center"/>
            <w:hideMark/>
          </w:tcPr>
          <w:p w14:paraId="04E153CB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Human observational / cross-sectional</w:t>
            </w:r>
          </w:p>
        </w:tc>
        <w:tc>
          <w:tcPr>
            <w:tcW w:w="0" w:type="auto"/>
            <w:vAlign w:val="center"/>
            <w:hideMark/>
          </w:tcPr>
          <w:p w14:paraId="5358440C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552DA0" w:rsidRPr="00552DA0" w14:paraId="6D09D9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8C5CC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Oral pathogens → BBB / neurological pathways</w:t>
            </w:r>
          </w:p>
        </w:tc>
        <w:tc>
          <w:tcPr>
            <w:tcW w:w="0" w:type="auto"/>
            <w:vAlign w:val="center"/>
            <w:hideMark/>
          </w:tcPr>
          <w:p w14:paraId="1B190CD6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Experimental work involving </w:t>
            </w:r>
            <w:r w:rsidRPr="00552DA0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P. gingivalis</w:t>
            </w: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has demonstrated effects relevant to endothelial or blood–brain-barrier integrity and neurological outcomes. </w:t>
            </w:r>
            <w:r w:rsidRPr="00552DA0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P. gingivalis</w:t>
            </w: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and </w:t>
            </w:r>
            <w:r w:rsidRPr="00552DA0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 xml:space="preserve">T. </w:t>
            </w:r>
            <w:proofErr w:type="spellStart"/>
            <w:r w:rsidRPr="00552DA0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denticola</w:t>
            </w:r>
            <w:proofErr w:type="spellEnd"/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have also been investigated in relation to amyloid- and tau-associated pathways.</w:t>
            </w:r>
          </w:p>
        </w:tc>
        <w:tc>
          <w:tcPr>
            <w:tcW w:w="0" w:type="auto"/>
            <w:vAlign w:val="center"/>
            <w:hideMark/>
          </w:tcPr>
          <w:p w14:paraId="2B0E2C9C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Animal / endothelial / experimental</w:t>
            </w:r>
          </w:p>
        </w:tc>
        <w:tc>
          <w:tcPr>
            <w:tcW w:w="0" w:type="auto"/>
            <w:vAlign w:val="center"/>
            <w:hideMark/>
          </w:tcPr>
          <w:p w14:paraId="59D21F5B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2, 3</w:t>
            </w:r>
          </w:p>
        </w:tc>
      </w:tr>
      <w:tr w:rsidR="00552DA0" w:rsidRPr="00552DA0" w14:paraId="63A7DB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F4084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Fungal metabolite → BBB</w:t>
            </w:r>
          </w:p>
        </w:tc>
        <w:tc>
          <w:tcPr>
            <w:tcW w:w="0" w:type="auto"/>
            <w:vAlign w:val="center"/>
            <w:hideMark/>
          </w:tcPr>
          <w:p w14:paraId="68BAD580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Gliotoxin has disrupted experimental BBB models at sufficient concentration. These findings demonstrate mechanism, not real-world WDB dose equivalence.</w:t>
            </w:r>
          </w:p>
        </w:tc>
        <w:tc>
          <w:tcPr>
            <w:tcW w:w="0" w:type="auto"/>
            <w:vAlign w:val="center"/>
            <w:hideMark/>
          </w:tcPr>
          <w:p w14:paraId="629D8FA0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 vitro</w:t>
            </w:r>
          </w:p>
        </w:tc>
        <w:tc>
          <w:tcPr>
            <w:tcW w:w="0" w:type="auto"/>
            <w:vAlign w:val="center"/>
            <w:hideMark/>
          </w:tcPr>
          <w:p w14:paraId="519BDE31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</w:t>
            </w:r>
          </w:p>
        </w:tc>
      </w:tr>
      <w:tr w:rsidR="00552DA0" w:rsidRPr="00552DA0" w14:paraId="7325D6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559EA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Field oral swab</w:t>
            </w:r>
          </w:p>
        </w:tc>
        <w:tc>
          <w:tcPr>
            <w:tcW w:w="0" w:type="auto"/>
            <w:vAlign w:val="center"/>
            <w:hideMark/>
          </w:tcPr>
          <w:p w14:paraId="31A73548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Elevated selected periodontal organisms and yeast with relatively low lactobacilli were recorded in one WDB occupant.</w:t>
            </w:r>
          </w:p>
        </w:tc>
        <w:tc>
          <w:tcPr>
            <w:tcW w:w="0" w:type="auto"/>
            <w:vAlign w:val="center"/>
            <w:hideMark/>
          </w:tcPr>
          <w:p w14:paraId="76B3EBBC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Individual field observation / hypothesis-generating</w:t>
            </w:r>
          </w:p>
        </w:tc>
        <w:tc>
          <w:tcPr>
            <w:tcW w:w="0" w:type="auto"/>
            <w:vAlign w:val="center"/>
            <w:hideMark/>
          </w:tcPr>
          <w:p w14:paraId="6F6790AB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0D991EE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evidence chain is therefore incomplete but biologically coherent.</w:t>
      </w:r>
    </w:p>
    <w:p w14:paraId="4643730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is strongest where individual mechanisms have been independently demonstrated and weakest where the model requires those mechanisms to be joined into a single exposure-to-disease pathway.</w:t>
      </w:r>
    </w:p>
    <w:p w14:paraId="24A1086C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pict w14:anchorId="64032DBD">
          <v:rect id="_x0000_i1060" style="width:0;height:1.5pt" o:hralign="center" o:hrstd="t" o:hr="t" fillcolor="#a0a0a0" stroked="f"/>
        </w:pict>
      </w:r>
    </w:p>
    <w:p w14:paraId="50CCDD24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3.1 Candidate Research Markers</w:t>
      </w:r>
    </w:p>
    <w:p w14:paraId="5E4C99F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following organisms and measures are proposed as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candidate research variables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rather than validated WDB biomarkers.</w:t>
      </w:r>
    </w:p>
    <w:p w14:paraId="3BBBD4E0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Table 2. Candidate research markers — host findings and environmental context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2005"/>
        <w:gridCol w:w="2261"/>
        <w:gridCol w:w="2873"/>
      </w:tblGrid>
      <w:tr w:rsidR="00552DA0" w:rsidRPr="00552DA0" w14:paraId="4F5B236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E27309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Marker</w:t>
            </w:r>
          </w:p>
        </w:tc>
        <w:tc>
          <w:tcPr>
            <w:tcW w:w="0" w:type="auto"/>
            <w:vAlign w:val="center"/>
            <w:hideMark/>
          </w:tcPr>
          <w:p w14:paraId="1D63FC0F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Provisional / reference context</w:t>
            </w:r>
          </w:p>
        </w:tc>
        <w:tc>
          <w:tcPr>
            <w:tcW w:w="0" w:type="auto"/>
            <w:vAlign w:val="center"/>
            <w:hideMark/>
          </w:tcPr>
          <w:p w14:paraId="1FC9927C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Why of interest</w:t>
            </w:r>
          </w:p>
        </w:tc>
        <w:tc>
          <w:tcPr>
            <w:tcW w:w="0" w:type="auto"/>
            <w:vAlign w:val="center"/>
            <w:hideMark/>
          </w:tcPr>
          <w:p w14:paraId="13055A05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Environmental context to investigate</w:t>
            </w:r>
          </w:p>
        </w:tc>
      </w:tr>
      <w:tr w:rsidR="00552DA0" w:rsidRPr="00552DA0" w14:paraId="1620E6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AA326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P. gingivalis</w:t>
            </w:r>
          </w:p>
        </w:tc>
        <w:tc>
          <w:tcPr>
            <w:tcW w:w="0" w:type="auto"/>
            <w:vAlign w:val="center"/>
            <w:hideMark/>
          </w:tcPr>
          <w:p w14:paraId="7401DC7E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Oral concentration interpreted against laboratory and periodontal reference data</w:t>
            </w:r>
          </w:p>
        </w:tc>
        <w:tc>
          <w:tcPr>
            <w:tcW w:w="0" w:type="auto"/>
            <w:vAlign w:val="center"/>
            <w:hideMark/>
          </w:tcPr>
          <w:p w14:paraId="0674B900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Gingipains; periodontal inflammation; experimental relevance to vascular and neurological pathways</w:t>
            </w:r>
          </w:p>
        </w:tc>
        <w:tc>
          <w:tcPr>
            <w:tcW w:w="0" w:type="auto"/>
            <w:vAlign w:val="center"/>
            <w:hideMark/>
          </w:tcPr>
          <w:p w14:paraId="46E9E5C7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Overall WDB exposure profile, moisture reservoirs, fungal/bacterial burden. No validated direct environmental source relationship</w:t>
            </w:r>
          </w:p>
        </w:tc>
      </w:tr>
      <w:tr w:rsidR="00552DA0" w:rsidRPr="00552DA0" w14:paraId="5604D6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D429A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T. </w:t>
            </w:r>
            <w:proofErr w:type="spellStart"/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denticola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30CEAF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Oral concentration interpreted against periodontal reference data</w:t>
            </w:r>
          </w:p>
        </w:tc>
        <w:tc>
          <w:tcPr>
            <w:tcW w:w="0" w:type="auto"/>
            <w:vAlign w:val="center"/>
            <w:hideMark/>
          </w:tcPr>
          <w:p w14:paraId="6F75E703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Dentilisin</w:t>
            </w:r>
            <w:proofErr w:type="spellEnd"/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; biofilm synergy; inflammatory relevance</w:t>
            </w:r>
          </w:p>
        </w:tc>
        <w:tc>
          <w:tcPr>
            <w:tcW w:w="0" w:type="auto"/>
            <w:vAlign w:val="center"/>
            <w:hideMark/>
          </w:tcPr>
          <w:p w14:paraId="192C5D52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Environmental microbial burden may be recorded in parallel, but a direct building-source relationship is not established</w:t>
            </w:r>
          </w:p>
        </w:tc>
      </w:tr>
      <w:tr w:rsidR="00552DA0" w:rsidRPr="00552DA0" w14:paraId="3F7AF1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F53ED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Candida spp.</w:t>
            </w:r>
          </w:p>
        </w:tc>
        <w:tc>
          <w:tcPr>
            <w:tcW w:w="0" w:type="auto"/>
            <w:vAlign w:val="center"/>
            <w:hideMark/>
          </w:tcPr>
          <w:p w14:paraId="6B336C35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Oral yeast burden interpreted clinically and against laboratory reference data</w:t>
            </w:r>
          </w:p>
        </w:tc>
        <w:tc>
          <w:tcPr>
            <w:tcW w:w="0" w:type="auto"/>
            <w:vAlign w:val="center"/>
            <w:hideMark/>
          </w:tcPr>
          <w:p w14:paraId="2ECB278A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Mixed-species biofilm participation; altered oral ecology; inflammatory relevance</w:t>
            </w:r>
          </w:p>
        </w:tc>
        <w:tc>
          <w:tcPr>
            <w:tcW w:w="0" w:type="auto"/>
            <w:vAlign w:val="center"/>
            <w:hideMark/>
          </w:tcPr>
          <w:p w14:paraId="42B89D65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Indoor fungal burden and moisture conditions may be assessed separately; oral </w:t>
            </w:r>
            <w:r w:rsidRPr="00552DA0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GB"/>
                <w14:ligatures w14:val="none"/>
              </w:rPr>
              <w:t>Candida</w:t>
            </w: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does not prove environmental fungal origin</w:t>
            </w:r>
          </w:p>
        </w:tc>
      </w:tr>
      <w:tr w:rsidR="00552DA0" w:rsidRPr="00552DA0" w14:paraId="314BA6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AC6DD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Staphylococcal / </w:t>
            </w:r>
            <w:proofErr w:type="spellStart"/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MARCoNS</w:t>
            </w:r>
            <w:proofErr w:type="spellEnd"/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-type findings</w:t>
            </w:r>
          </w:p>
        </w:tc>
        <w:tc>
          <w:tcPr>
            <w:tcW w:w="0" w:type="auto"/>
            <w:vAlign w:val="center"/>
            <w:hideMark/>
          </w:tcPr>
          <w:p w14:paraId="68FC0811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Nasal culture or molecular finding</w:t>
            </w:r>
          </w:p>
        </w:tc>
        <w:tc>
          <w:tcPr>
            <w:tcW w:w="0" w:type="auto"/>
            <w:vAlign w:val="center"/>
            <w:hideMark/>
          </w:tcPr>
          <w:p w14:paraId="27CE50B7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May indicate persistent colonisation; possible relevance to mucosal ecology</w:t>
            </w:r>
          </w:p>
        </w:tc>
        <w:tc>
          <w:tcPr>
            <w:tcW w:w="0" w:type="auto"/>
            <w:vAlign w:val="center"/>
            <w:hideMark/>
          </w:tcPr>
          <w:p w14:paraId="30FB3C78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Damp HVAC, bacterial reservoirs and bioaerosol exposure may be assessed as contextual variables; diagnostic linkage to CIRS is not established</w:t>
            </w:r>
          </w:p>
        </w:tc>
      </w:tr>
      <w:tr w:rsidR="00552DA0" w:rsidRPr="00552DA0" w14:paraId="7C2421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F28FA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Salivary β-glucan</w:t>
            </w:r>
          </w:p>
        </w:tc>
        <w:tc>
          <w:tcPr>
            <w:tcW w:w="0" w:type="auto"/>
            <w:vAlign w:val="center"/>
            <w:hideMark/>
          </w:tcPr>
          <w:p w14:paraId="3243E540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BF-Lab pilot value previously used: 60 </w:t>
            </w:r>
            <w:proofErr w:type="spellStart"/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pg</w:t>
            </w:r>
            <w:proofErr w:type="spellEnd"/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/mL — provisional only</w:t>
            </w:r>
          </w:p>
        </w:tc>
        <w:tc>
          <w:tcPr>
            <w:tcW w:w="0" w:type="auto"/>
            <w:vAlign w:val="center"/>
            <w:hideMark/>
          </w:tcPr>
          <w:p w14:paraId="71BE8756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Possible indicator of fungal material reaching the aerodigestive tract; innate-immune relevance</w:t>
            </w:r>
          </w:p>
        </w:tc>
        <w:tc>
          <w:tcPr>
            <w:tcW w:w="0" w:type="auto"/>
            <w:vAlign w:val="center"/>
            <w:hideMark/>
          </w:tcPr>
          <w:p w14:paraId="355AEC33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Dust, surface or other environmental β-glucan measurements may be compared in research</w:t>
            </w:r>
          </w:p>
        </w:tc>
      </w:tr>
      <w:tr w:rsidR="00552DA0" w:rsidRPr="00552DA0" w14:paraId="58A2AF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46589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Lactobacillus spp.</w:t>
            </w:r>
          </w:p>
        </w:tc>
        <w:tc>
          <w:tcPr>
            <w:tcW w:w="0" w:type="auto"/>
            <w:vAlign w:val="center"/>
            <w:hideMark/>
          </w:tcPr>
          <w:p w14:paraId="5687F7A2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Relative abundance / laboratory reference context</w:t>
            </w:r>
          </w:p>
        </w:tc>
        <w:tc>
          <w:tcPr>
            <w:tcW w:w="0" w:type="auto"/>
            <w:vAlign w:val="center"/>
            <w:hideMark/>
          </w:tcPr>
          <w:p w14:paraId="3933EAE7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Potential marker of microbial community balance</w:t>
            </w:r>
          </w:p>
        </w:tc>
        <w:tc>
          <w:tcPr>
            <w:tcW w:w="0" w:type="auto"/>
            <w:vAlign w:val="center"/>
            <w:hideMark/>
          </w:tcPr>
          <w:p w14:paraId="17C76CB9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Research comparison with building exposure; no validated inverse relationship with ERMI established</w:t>
            </w:r>
          </w:p>
        </w:tc>
      </w:tr>
    </w:tbl>
    <w:p w14:paraId="74396737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Important note: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Any numerical cut-offs used in this framework must be identified as laboratory reference values, published thresholds, or internal pilot values.</w:t>
      </w:r>
    </w:p>
    <w:p w14:paraId="5939A91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They should not be represented as validated WDB diagnostic thresholds unless independently supported.</w:t>
      </w:r>
    </w:p>
    <w:p w14:paraId="14196207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8FE9D19">
          <v:rect id="_x0000_i1061" style="width:0;height:1.5pt" o:hralign="center" o:hrstd="t" o:hr="t" fillcolor="#a0a0a0" stroked="f"/>
        </w:pict>
      </w:r>
    </w:p>
    <w:p w14:paraId="2CD26BA1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3.2 Environmental Parallels</w:t>
      </w:r>
    </w:p>
    <w:p w14:paraId="1F77C51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Evidence from occupational and environmental studies demonstrates that airway microbial communities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are capable of responding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environmental exposure.</w:t>
      </w:r>
    </w:p>
    <w:p w14:paraId="50D1201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Five studies considered within the development of this framework vary considerably in their ability to establish exposure and causality.</w:t>
      </w:r>
    </w:p>
    <w:p w14:paraId="01C9855A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Longitudinal occupational studies involving substantial bioaerosol exposure provide stronger evidence that environment and airway microbiology can be related than cross-sectional studies based primarily on ambient exposure estimates.</w:t>
      </w:r>
    </w:p>
    <w:p w14:paraId="2B0D837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Other studies involving workplace dust, ambient mould, chlorine exposure and childhood multi-</w:t>
      </w: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omic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investigation contribute further indirect evidence.</w:t>
      </w:r>
    </w:p>
    <w:p w14:paraId="407A62A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These studies are important because they demonstrate that respiratory microbial communities are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 necessarily static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2275E0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However, none directly answers the question posed by this paper.</w:t>
      </w:r>
    </w:p>
    <w:p w14:paraId="2B4F500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There remains no robust WDB intervention study simultaneously measuring:</w:t>
      </w:r>
    </w:p>
    <w:p w14:paraId="1CBE887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building exposure + oral/sinonasal microbiome + host inflammatory response + clinical outcome before and after remediation.</w:t>
      </w:r>
    </w:p>
    <w:p w14:paraId="5487231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is the critical missing study.</w:t>
      </w:r>
    </w:p>
    <w:p w14:paraId="5F59F09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environmental-parallels plot in the supplementary material should therefore be read as a comparison of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study design strength and causal interpretability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not as proof of a WDB-specific oral-microbiome mechanism.</w:t>
      </w:r>
    </w:p>
    <w:p w14:paraId="187086E9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ADDC870">
          <v:rect id="_x0000_i1062" style="width:0;height:1.5pt" o:hralign="center" o:hrstd="t" o:hr="t" fillcolor="#a0a0a0" stroked="f"/>
        </w:pict>
      </w:r>
    </w:p>
    <w:p w14:paraId="2FF46440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Proposed Pathophysiological Model</w:t>
      </w:r>
    </w:p>
    <w:p w14:paraId="4DB6A94A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model should be considered a sequence of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testable hypotheses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not an established disease pathway.</w:t>
      </w:r>
    </w:p>
    <w:p w14:paraId="73896501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Stage 1 — Exposure</w:t>
      </w:r>
    </w:p>
    <w:p w14:paraId="78F4D17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Particles and biologically active material originating within a damp or microbially contaminated environment are inhaled or deposited within the upper aerodigestive tract.</w:t>
      </w:r>
    </w:p>
    <w:p w14:paraId="6315D1F9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Stage 2 — Microbial ecological shift</w:t>
      </w:r>
    </w:p>
    <w:p w14:paraId="57251965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susceptible individuals, repeated exposure, mucosal inflammation or other host factors may contribute to alteration of the existing oral or sinonasal microbial community.</w:t>
      </w:r>
    </w:p>
    <w:p w14:paraId="454C0CA9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Stage 3 — Biofilm persistence</w:t>
      </w:r>
    </w:p>
    <w:p w14:paraId="118E887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Once established, </w:t>
      </w: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dysbiotic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microbial communities may persist independently of the original exposure and provide continuing inflammatory stimulation.</w:t>
      </w:r>
    </w:p>
    <w:p w14:paraId="2416D5C4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Stage 4 — Barrier and immune effects</w:t>
      </w:r>
    </w:p>
    <w:p w14:paraId="1B13761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Microbial products, host inflammatory mediators and other metabolites may influence epithelial or endothelial integrity and systemic immune signalling.</w:t>
      </w:r>
    </w:p>
    <w:p w14:paraId="54A5A7BE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Stage 5 — Systemic amplification</w:t>
      </w:r>
    </w:p>
    <w:p w14:paraId="722112F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susceptible individuals, persistent mucosal or periodontal inflammation could theoretically add to the overall inflammatory burden arising from environmental exposure.</w:t>
      </w:r>
    </w:p>
    <w:p w14:paraId="79E2747C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Stage 6 — Neuro-immune relevance</w:t>
      </w:r>
    </w:p>
    <w:p w14:paraId="7F9BAD8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Because systemic inflammation, vascular integrity and immune signalling are relevant to numerous neurological and neuro-immune conditions, such amplification could potentially modify symptoms or disease activity.</w:t>
      </w:r>
    </w:p>
    <w:p w14:paraId="125E322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final stage remains the most inferential part of the model and requires direct investigation.</w:t>
      </w:r>
    </w:p>
    <w:p w14:paraId="42B79920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framework therefore proposes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amplification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not proof of disease causation.</w:t>
      </w:r>
    </w:p>
    <w:p w14:paraId="187A43FC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95F29EE">
          <v:rect id="_x0000_i1063" style="width:0;height:1.5pt" o:hralign="center" o:hrstd="t" o:hr="t" fillcolor="#a0a0a0" stroked="f"/>
        </w:pict>
      </w:r>
    </w:p>
    <w:p w14:paraId="258EC87B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5. Proposed Clinical and Environmental Actions</w:t>
      </w:r>
    </w:p>
    <w:p w14:paraId="71ADD76B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Research-use only — not yet validated as a clinical pathway</w:t>
      </w:r>
    </w:p>
    <w:p w14:paraId="352E21AD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Table 3. Proposed actions and evidential status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3929"/>
        <w:gridCol w:w="2454"/>
      </w:tblGrid>
      <w:tr w:rsidR="00552DA0" w:rsidRPr="00552DA0" w14:paraId="1E94CB9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CEC2CA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Action</w:t>
            </w:r>
          </w:p>
        </w:tc>
        <w:tc>
          <w:tcPr>
            <w:tcW w:w="0" w:type="auto"/>
            <w:vAlign w:val="center"/>
            <w:hideMark/>
          </w:tcPr>
          <w:p w14:paraId="28138A2A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Rationale</w:t>
            </w:r>
          </w:p>
        </w:tc>
        <w:tc>
          <w:tcPr>
            <w:tcW w:w="0" w:type="auto"/>
            <w:vAlign w:val="center"/>
            <w:hideMark/>
          </w:tcPr>
          <w:p w14:paraId="10A82B60" w14:textId="77777777" w:rsidR="00552DA0" w:rsidRPr="00552DA0" w:rsidRDefault="00552DA0" w:rsidP="00552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Evidence level</w:t>
            </w:r>
          </w:p>
        </w:tc>
      </w:tr>
      <w:tr w:rsidR="00552DA0" w:rsidRPr="00552DA0" w14:paraId="658D6F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3C8F5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Oral microbiome swab</w:t>
            </w:r>
          </w:p>
        </w:tc>
        <w:tc>
          <w:tcPr>
            <w:tcW w:w="0" w:type="auto"/>
            <w:vAlign w:val="center"/>
            <w:hideMark/>
          </w:tcPr>
          <w:p w14:paraId="22513C11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Characterises selected periodontal organisms, yeasts and microbial balance</w:t>
            </w:r>
          </w:p>
        </w:tc>
        <w:tc>
          <w:tcPr>
            <w:tcW w:w="0" w:type="auto"/>
            <w:vAlign w:val="center"/>
            <w:hideMark/>
          </w:tcPr>
          <w:p w14:paraId="217A2295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Research / observational</w:t>
            </w:r>
          </w:p>
        </w:tc>
      </w:tr>
      <w:tr w:rsidR="00552DA0" w:rsidRPr="00552DA0" w14:paraId="58AB1B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59089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Conventional dental / periodontal assessment</w:t>
            </w:r>
          </w:p>
        </w:tc>
        <w:tc>
          <w:tcPr>
            <w:tcW w:w="0" w:type="auto"/>
            <w:vAlign w:val="center"/>
            <w:hideMark/>
          </w:tcPr>
          <w:p w14:paraId="3686CBE9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Investigates established oral disease where significant organisms or clinical signs are present</w:t>
            </w:r>
          </w:p>
        </w:tc>
        <w:tc>
          <w:tcPr>
            <w:tcW w:w="0" w:type="auto"/>
            <w:vAlign w:val="center"/>
            <w:hideMark/>
          </w:tcPr>
          <w:p w14:paraId="6C497219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Established clinical practice</w:t>
            </w:r>
          </w:p>
        </w:tc>
      </w:tr>
      <w:tr w:rsidR="00552DA0" w:rsidRPr="00552DA0" w14:paraId="5E2DBC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35EC0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Environmental PCR-DNA / building assessment</w:t>
            </w:r>
          </w:p>
        </w:tc>
        <w:tc>
          <w:tcPr>
            <w:tcW w:w="0" w:type="auto"/>
            <w:vAlign w:val="center"/>
            <w:hideMark/>
          </w:tcPr>
          <w:p w14:paraId="1466BDB9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Characterises potential building reservoirs and exposure conditions</w:t>
            </w:r>
          </w:p>
        </w:tc>
        <w:tc>
          <w:tcPr>
            <w:tcW w:w="0" w:type="auto"/>
            <w:vAlign w:val="center"/>
            <w:hideMark/>
          </w:tcPr>
          <w:p w14:paraId="4489311B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Established environmental investigation methods</w:t>
            </w:r>
          </w:p>
        </w:tc>
      </w:tr>
      <w:tr w:rsidR="00552DA0" w:rsidRPr="00552DA0" w14:paraId="2A5733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52A43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Airborne / settled-dust assessment </w:t>
            </w:r>
            <w:proofErr w:type="gramStart"/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where</w:t>
            </w:r>
            <w:proofErr w:type="gramEnd"/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justified</w:t>
            </w:r>
          </w:p>
        </w:tc>
        <w:tc>
          <w:tcPr>
            <w:tcW w:w="0" w:type="auto"/>
            <w:vAlign w:val="center"/>
            <w:hideMark/>
          </w:tcPr>
          <w:p w14:paraId="10230A3C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Adds exposure information where inspection indicates a need</w:t>
            </w:r>
          </w:p>
        </w:tc>
        <w:tc>
          <w:tcPr>
            <w:tcW w:w="0" w:type="auto"/>
            <w:vAlign w:val="center"/>
            <w:hideMark/>
          </w:tcPr>
          <w:p w14:paraId="2B4C549F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Environmental / exposure assessment</w:t>
            </w:r>
          </w:p>
        </w:tc>
      </w:tr>
      <w:tr w:rsidR="00552DA0" w:rsidRPr="00552DA0" w14:paraId="76F6E8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A0EDD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Parallel host + environmental comparison</w:t>
            </w:r>
          </w:p>
        </w:tc>
        <w:tc>
          <w:tcPr>
            <w:tcW w:w="0" w:type="auto"/>
            <w:vAlign w:val="center"/>
            <w:hideMark/>
          </w:tcPr>
          <w:p w14:paraId="75C92F9D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Tests whether reproducible relationships exist between building exposure and host microbiome findings</w:t>
            </w:r>
          </w:p>
        </w:tc>
        <w:tc>
          <w:tcPr>
            <w:tcW w:w="0" w:type="auto"/>
            <w:vAlign w:val="center"/>
            <w:hideMark/>
          </w:tcPr>
          <w:p w14:paraId="423499A3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Conceptual / research framework</w:t>
            </w:r>
          </w:p>
        </w:tc>
      </w:tr>
      <w:tr w:rsidR="00552DA0" w:rsidRPr="00552DA0" w14:paraId="3BC7FF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34083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Longitudinal pre/post-remediation comparison</w:t>
            </w:r>
          </w:p>
        </w:tc>
        <w:tc>
          <w:tcPr>
            <w:tcW w:w="0" w:type="auto"/>
            <w:vAlign w:val="center"/>
            <w:hideMark/>
          </w:tcPr>
          <w:p w14:paraId="09DECF37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Tests whether environmental change is accompanied by microbiome or clinical change</w:t>
            </w:r>
          </w:p>
        </w:tc>
        <w:tc>
          <w:tcPr>
            <w:tcW w:w="0" w:type="auto"/>
            <w:vAlign w:val="center"/>
            <w:hideMark/>
          </w:tcPr>
          <w:p w14:paraId="43C01A91" w14:textId="77777777" w:rsidR="00552DA0" w:rsidRPr="00552DA0" w:rsidRDefault="00552DA0" w:rsidP="00552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52DA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Proposed prospective research</w:t>
            </w:r>
          </w:p>
        </w:tc>
      </w:tr>
    </w:tbl>
    <w:p w14:paraId="0297F42C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2D886F9">
          <v:rect id="_x0000_i1064" style="width:0;height:1.5pt" o:hralign="center" o:hrstd="t" o:hr="t" fillcolor="#a0a0a0" stroked="f"/>
        </w:pict>
      </w:r>
    </w:p>
    <w:p w14:paraId="1A7EFF1F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5.1 Oral Microbiome Assessment</w:t>
      </w:r>
    </w:p>
    <w:p w14:paraId="150E188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purpose of oral microbiome assessment is to characterise selected periodontal organisms, yeasts and broader microbial composition.</w:t>
      </w:r>
    </w:p>
    <w:p w14:paraId="58CF38A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Potential value includes:</w:t>
      </w:r>
    </w:p>
    <w:p w14:paraId="20BE0B95" w14:textId="77777777" w:rsidR="00552DA0" w:rsidRPr="00552DA0" w:rsidRDefault="00552DA0" w:rsidP="00552D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identifying findings warranting conventional dental or periodontal investigation;</w:t>
      </w:r>
    </w:p>
    <w:p w14:paraId="35CF1897" w14:textId="77777777" w:rsidR="00552DA0" w:rsidRPr="00552DA0" w:rsidRDefault="00552DA0" w:rsidP="00552D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establishing host-side microbiological data for research;</w:t>
      </w:r>
    </w:p>
    <w:p w14:paraId="64EF1AF1" w14:textId="77777777" w:rsidR="00552DA0" w:rsidRPr="00552DA0" w:rsidRDefault="00552DA0" w:rsidP="00552D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identifying patterns of dysbiosis; and</w:t>
      </w:r>
    </w:p>
    <w:p w14:paraId="43E97155" w14:textId="77777777" w:rsidR="00552DA0" w:rsidRPr="00552DA0" w:rsidRDefault="00552DA0" w:rsidP="00552D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permitting longitudinal comparison.</w:t>
      </w:r>
    </w:p>
    <w:p w14:paraId="6DADA54A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does not establish environmental origin.</w:t>
      </w:r>
    </w:p>
    <w:p w14:paraId="39AAF8CD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7BECD81">
          <v:rect id="_x0000_i1065" style="width:0;height:1.5pt" o:hralign="center" o:hrstd="t" o:hr="t" fillcolor="#a0a0a0" stroked="f"/>
        </w:pict>
      </w:r>
    </w:p>
    <w:p w14:paraId="6F17A01E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5.2 Conventional Dental and Periodontal Assessment</w:t>
      </w:r>
    </w:p>
    <w:p w14:paraId="7866A252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Where significant periodontal organisms or clinical findings are present, recognised dental or periodontal investigation should take priority.</w:t>
      </w:r>
    </w:p>
    <w:p w14:paraId="146E14B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Reducing established periodontal disease and oral biofilm burden has an evidence base independent of the WDB hypothesis.</w:t>
      </w:r>
    </w:p>
    <w:p w14:paraId="5E1D3367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Any additional effect on building-related symptoms should currently be considered investigational.</w:t>
      </w:r>
    </w:p>
    <w:p w14:paraId="2149D37B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pict w14:anchorId="4DDEBFE7">
          <v:rect id="_x0000_i1066" style="width:0;height:1.5pt" o:hralign="center" o:hrstd="t" o:hr="t" fillcolor="#a0a0a0" stroked="f"/>
        </w:pict>
      </w:r>
    </w:p>
    <w:p w14:paraId="2842E017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5.3 Environmental Investigation</w:t>
      </w:r>
    </w:p>
    <w:p w14:paraId="289B93F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assessment may include appropriate combinations of:</w:t>
      </w:r>
    </w:p>
    <w:p w14:paraId="7389559B" w14:textId="77777777" w:rsidR="00552DA0" w:rsidRPr="00552DA0" w:rsidRDefault="00552DA0" w:rsidP="00552D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building inspection;</w:t>
      </w:r>
    </w:p>
    <w:p w14:paraId="76A60F72" w14:textId="77777777" w:rsidR="00552DA0" w:rsidRPr="00552DA0" w:rsidRDefault="00552DA0" w:rsidP="00552D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moisture assessment;</w:t>
      </w:r>
    </w:p>
    <w:p w14:paraId="5BAB773B" w14:textId="77777777" w:rsidR="00552DA0" w:rsidRPr="00552DA0" w:rsidRDefault="00552DA0" w:rsidP="00552D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identification of reservoirs;</w:t>
      </w:r>
    </w:p>
    <w:p w14:paraId="5C0A0526" w14:textId="77777777" w:rsidR="00552DA0" w:rsidRPr="00552DA0" w:rsidRDefault="00552DA0" w:rsidP="00552D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settled-dust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environmental DNA analysis;</w:t>
      </w:r>
    </w:p>
    <w:p w14:paraId="0774602B" w14:textId="77777777" w:rsidR="00552DA0" w:rsidRPr="00552DA0" w:rsidRDefault="00552DA0" w:rsidP="00552D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airborne particle or microbial assessment;</w:t>
      </w:r>
    </w:p>
    <w:p w14:paraId="169A118A" w14:textId="77777777" w:rsidR="00552DA0" w:rsidRPr="00552DA0" w:rsidRDefault="00552DA0" w:rsidP="00552D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β-glucan, endotoxin or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other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specialist testing where justified.</w:t>
      </w:r>
    </w:p>
    <w:p w14:paraId="2F9F8C4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results establish information about the building.</w:t>
      </w:r>
    </w:p>
    <w:p w14:paraId="16D5AC5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They should not be used retrospectively to claim that an identical or related organism detected in the occupant necessarily originated from that building.</w:t>
      </w:r>
    </w:p>
    <w:p w14:paraId="1E41DEC0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574EC4A">
          <v:rect id="_x0000_i1067" style="width:0;height:1.5pt" o:hralign="center" o:hrstd="t" o:hr="t" fillcolor="#a0a0a0" stroked="f"/>
        </w:pict>
      </w:r>
    </w:p>
    <w:p w14:paraId="600B2E5C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5.4 Parallel Host and Environmental Assessment</w:t>
      </w:r>
    </w:p>
    <w:p w14:paraId="27FE6B9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principal research value arises when both sides are investigated.</w:t>
      </w:r>
    </w:p>
    <w:p w14:paraId="66737153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proposed comparison is:</w:t>
      </w:r>
    </w:p>
    <w:p w14:paraId="75CF70B0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BUILDING</w:t>
      </w:r>
    </w:p>
    <w:p w14:paraId="3223139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Moisture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↓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Microbial reservoir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↓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Exposure potential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↓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Airborne / deposited material</w:t>
      </w:r>
    </w:p>
    <w:p w14:paraId="06B340E1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HOST</w:t>
      </w:r>
    </w:p>
    <w:p w14:paraId="25CCB3F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Oral / sinonasal microbiome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↓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Biofilm / dysbiosis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↓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Mucosal inflammation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↓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Systemic inflammatory response</w:t>
      </w:r>
    </w:p>
    <w:p w14:paraId="39217F8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purpose is to determine whether these two evidence streams demonstrate reproducible relationships.</w:t>
      </w:r>
    </w:p>
    <w:p w14:paraId="5525FB4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No combined diagnostic score is presently validated.</w:t>
      </w:r>
    </w:p>
    <w:p w14:paraId="2D253366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199B7E3">
          <v:rect id="_x0000_i1068" style="width:0;height:1.5pt" o:hralign="center" o:hrstd="t" o:hr="t" fillcolor="#a0a0a0" stroked="f"/>
        </w:pict>
      </w:r>
    </w:p>
    <w:p w14:paraId="0731A5C7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Evidence Gaps and Research Agenda</w:t>
      </w:r>
    </w:p>
    <w:p w14:paraId="16B16EF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principal limitation of the current evidence is straightforward:</w:t>
      </w:r>
    </w:p>
    <w:p w14:paraId="2FFB42B0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 human study yet demonstrates the complete pathway proposed in this paper.</w:t>
      </w:r>
    </w:p>
    <w:p w14:paraId="553A39E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Specifically, there is no adequately controlled prospective study simultaneously demonstrating:</w:t>
      </w:r>
    </w:p>
    <w:p w14:paraId="35CCE05C" w14:textId="77777777" w:rsidR="00552DA0" w:rsidRPr="00552DA0" w:rsidRDefault="00552DA0" w:rsidP="00552D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measured WDB exposure;</w:t>
      </w:r>
    </w:p>
    <w:p w14:paraId="0FC80A28" w14:textId="77777777" w:rsidR="00552DA0" w:rsidRPr="00552DA0" w:rsidRDefault="00552DA0" w:rsidP="00552D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alteration of the oral or sinonasal microbiome;</w:t>
      </w:r>
    </w:p>
    <w:p w14:paraId="083A671E" w14:textId="77777777" w:rsidR="00552DA0" w:rsidRPr="00552DA0" w:rsidRDefault="00552DA0" w:rsidP="00552D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relevant host inflammatory change;</w:t>
      </w:r>
    </w:p>
    <w:p w14:paraId="4392A16C" w14:textId="77777777" w:rsidR="00552DA0" w:rsidRPr="00552DA0" w:rsidRDefault="00552DA0" w:rsidP="00552D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neurological or systemic effects; and</w:t>
      </w:r>
    </w:p>
    <w:p w14:paraId="6B477690" w14:textId="77777777" w:rsidR="00552DA0" w:rsidRPr="00552DA0" w:rsidRDefault="00552DA0" w:rsidP="00552D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reversal or improvement following removal of exposure or remediation.</w:t>
      </w:r>
    </w:p>
    <w:p w14:paraId="2F9C535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is therefore the major research priority.</w:t>
      </w:r>
    </w:p>
    <w:p w14:paraId="1B363981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130539D">
          <v:rect id="_x0000_i1069" style="width:0;height:1.5pt" o:hralign="center" o:hrstd="t" o:hr="t" fillcolor="#a0a0a0" stroked="f"/>
        </w:pict>
      </w:r>
    </w:p>
    <w:p w14:paraId="0A48B7DF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6.1 Proposed Prospective Study</w:t>
      </w:r>
    </w:p>
    <w:p w14:paraId="22C2ADB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 initial exploratory study could compare approximately:</w:t>
      </w:r>
    </w:p>
    <w:p w14:paraId="218F3F2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30 WDB-exposed families</w:t>
      </w:r>
    </w:p>
    <w:p w14:paraId="0F770780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versus</w:t>
      </w:r>
    </w:p>
    <w:p w14:paraId="646779C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30 control families</w:t>
      </w:r>
    </w:p>
    <w:p w14:paraId="70B80E60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with repeated measurement where possible.</w:t>
      </w:r>
    </w:p>
    <w:p w14:paraId="600C6A77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Environmental assessment</w:t>
      </w:r>
    </w:p>
    <w:p w14:paraId="575D3F2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Potential measures include:</w:t>
      </w:r>
    </w:p>
    <w:p w14:paraId="2F4CB8E6" w14:textId="77777777" w:rsidR="00552DA0" w:rsidRPr="00552DA0" w:rsidRDefault="00552DA0" w:rsidP="00552D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building inspection;</w:t>
      </w:r>
    </w:p>
    <w:p w14:paraId="2D5E2174" w14:textId="77777777" w:rsidR="00552DA0" w:rsidRPr="00552DA0" w:rsidRDefault="00552DA0" w:rsidP="00552D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moisture assessment;</w:t>
      </w:r>
    </w:p>
    <w:p w14:paraId="0F362713" w14:textId="77777777" w:rsidR="00552DA0" w:rsidRPr="00552DA0" w:rsidRDefault="00552DA0" w:rsidP="00552D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PCR-DNA;</w:t>
      </w:r>
    </w:p>
    <w:p w14:paraId="2B85C5C4" w14:textId="77777777" w:rsidR="00552DA0" w:rsidRPr="00552DA0" w:rsidRDefault="00552DA0" w:rsidP="00552D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appropriate fungal and bacterial exposure measures;</w:t>
      </w:r>
    </w:p>
    <w:p w14:paraId="4600BD14" w14:textId="77777777" w:rsidR="00552DA0" w:rsidRPr="00552DA0" w:rsidRDefault="00552DA0" w:rsidP="00552D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β-glucan and endotoxin where justified;</w:t>
      </w:r>
    </w:p>
    <w:p w14:paraId="2562900B" w14:textId="77777777" w:rsidR="00552DA0" w:rsidRPr="00552DA0" w:rsidRDefault="00552DA0" w:rsidP="00552D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particulate measurements where relevant.</w:t>
      </w:r>
    </w:p>
    <w:p w14:paraId="513CBF6D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Host microbiome assessment</w:t>
      </w:r>
    </w:p>
    <w:p w14:paraId="228892BD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Potential measures include:</w:t>
      </w:r>
    </w:p>
    <w:p w14:paraId="6C7223D7" w14:textId="77777777" w:rsidR="00552DA0" w:rsidRPr="00552DA0" w:rsidRDefault="00552DA0" w:rsidP="00552D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oral swab;</w:t>
      </w:r>
    </w:p>
    <w:p w14:paraId="71D5DE5F" w14:textId="77777777" w:rsidR="00552DA0" w:rsidRPr="00552DA0" w:rsidRDefault="00552DA0" w:rsidP="00552D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sinonasal swab;</w:t>
      </w:r>
    </w:p>
    <w:p w14:paraId="34C0D8AD" w14:textId="77777777" w:rsidR="00552DA0" w:rsidRPr="00552DA0" w:rsidRDefault="00552DA0" w:rsidP="00552D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microbiome sequencing or targeted molecular analysis;</w:t>
      </w:r>
    </w:p>
    <w:p w14:paraId="6545298E" w14:textId="77777777" w:rsidR="00552DA0" w:rsidRPr="00552DA0" w:rsidRDefault="00552DA0" w:rsidP="00552D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appropriate periodontal assessment.</w:t>
      </w:r>
    </w:p>
    <w:p w14:paraId="29581C15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Host-response assessment</w:t>
      </w:r>
    </w:p>
    <w:p w14:paraId="343A0FE5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Selected inflammatory or physiological markers should be determined by the research protocol and contemporary evidence rather than assumed to be diagnostic of WDB illness.</w:t>
      </w:r>
    </w:p>
    <w:p w14:paraId="32809BDC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Clinical assessment</w:t>
      </w:r>
    </w:p>
    <w:p w14:paraId="0AE80E55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Potential measures include:</w:t>
      </w:r>
    </w:p>
    <w:p w14:paraId="037A8A54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standardised symptom recording;</w:t>
      </w:r>
    </w:p>
    <w:p w14:paraId="0F197BE1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medical history;</w:t>
      </w:r>
    </w:p>
    <w:p w14:paraId="5FB22587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recognised neurological or cognitive assessments where relevant;</w:t>
      </w:r>
    </w:p>
    <w:p w14:paraId="50568E20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dental and periodontal status;</w:t>
      </w:r>
    </w:p>
    <w:p w14:paraId="2397328D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medication;</w:t>
      </w:r>
    </w:p>
    <w:p w14:paraId="7A7B054A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antibiotic history;</w:t>
      </w:r>
    </w:p>
    <w:p w14:paraId="5C86DF51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smoking status;</w:t>
      </w:r>
    </w:p>
    <w:p w14:paraId="3D3214F2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diet;</w:t>
      </w:r>
    </w:p>
    <w:p w14:paraId="455A5EAE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age;</w:t>
      </w:r>
    </w:p>
    <w:p w14:paraId="36EF2017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immune status; and</w:t>
      </w:r>
    </w:p>
    <w:p w14:paraId="0EAED4E5" w14:textId="77777777" w:rsidR="00552DA0" w:rsidRPr="00552DA0" w:rsidRDefault="00552DA0" w:rsidP="00552D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other major confounding variables.</w:t>
      </w:r>
    </w:p>
    <w:p w14:paraId="642A140E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Longitudinal component</w:t>
      </w:r>
    </w:p>
    <w:p w14:paraId="3D504623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Measurements should be repeated after effective exposure reduction or remediation.</w:t>
      </w:r>
    </w:p>
    <w:p w14:paraId="4B9F798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reduction in environmental exposure accompanied by a reproducible microbiome and clinical change would provide substantially stronger evidence than cross-sectional association alone.</w:t>
      </w:r>
    </w:p>
    <w:p w14:paraId="40059DC3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60460D6">
          <v:rect id="_x0000_i1070" style="width:0;height:1.5pt" o:hralign="center" o:hrstd="t" o:hr="t" fillcolor="#a0a0a0" stroked="f"/>
        </w:pict>
      </w:r>
    </w:p>
    <w:p w14:paraId="32820F64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7. Clinical and Policy Implications</w:t>
      </w:r>
    </w:p>
    <w:p w14:paraId="4295491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immediate implication is not the creation of another diagnostic test.</w:t>
      </w:r>
    </w:p>
    <w:p w14:paraId="7421E86B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is the recognition that environmental exposure and host microbial ecology may deserve to be studied together.</w:t>
      </w:r>
    </w:p>
    <w:p w14:paraId="53DE54B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the hypothesis is eventually supported, the consequences could be important.</w:t>
      </w:r>
    </w:p>
    <w:p w14:paraId="1365F13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investigation might then need to consider not simply:</w:t>
      </w:r>
    </w:p>
    <w:p w14:paraId="48E4806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“What is present in the building?”</w:t>
      </w:r>
    </w:p>
    <w:p w14:paraId="012002E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but also:</w:t>
      </w:r>
    </w:p>
    <w:p w14:paraId="441C5D4A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“Has exposure contributed to a persistent biological reservoir or inflammatory amplifier within the occupant?”</w:t>
      </w:r>
    </w:p>
    <w:p w14:paraId="0F33C60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Likewise, clinicians evaluating patients who report deterioration in damp or water-damaged environments might eventually benefit from objective information concerning both environmental conditions and relevant host microbial findings.</w:t>
      </w:r>
    </w:p>
    <w:p w14:paraId="50403622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 present, these possibilities remain investigational.</w:t>
      </w:r>
    </w:p>
    <w:p w14:paraId="4A699669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Nevertheless, the hypothesis offers a practical research bridge between:</w:t>
      </w:r>
    </w:p>
    <w:p w14:paraId="4FBC0EBD" w14:textId="77777777" w:rsidR="00552DA0" w:rsidRPr="00552DA0" w:rsidRDefault="00552DA0" w:rsidP="00552DA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building science;</w:t>
      </w:r>
    </w:p>
    <w:p w14:paraId="7C8E4545" w14:textId="77777777" w:rsidR="00552DA0" w:rsidRPr="00552DA0" w:rsidRDefault="00552DA0" w:rsidP="00552DA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microbiology;</w:t>
      </w:r>
    </w:p>
    <w:p w14:paraId="79045562" w14:textId="77777777" w:rsidR="00552DA0" w:rsidRPr="00552DA0" w:rsidRDefault="00552DA0" w:rsidP="00552DA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dental medicine;</w:t>
      </w:r>
    </w:p>
    <w:p w14:paraId="364C9167" w14:textId="77777777" w:rsidR="00552DA0" w:rsidRPr="00552DA0" w:rsidRDefault="00552DA0" w:rsidP="00552DA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ENT medicine;</w:t>
      </w:r>
    </w:p>
    <w:p w14:paraId="3272FF8D" w14:textId="77777777" w:rsidR="00552DA0" w:rsidRPr="00552DA0" w:rsidRDefault="00552DA0" w:rsidP="00552DA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health;</w:t>
      </w:r>
    </w:p>
    <w:p w14:paraId="00C2839E" w14:textId="77777777" w:rsidR="00552DA0" w:rsidRPr="00552DA0" w:rsidRDefault="00552DA0" w:rsidP="00552DA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immunology; and</w:t>
      </w:r>
    </w:p>
    <w:p w14:paraId="413FEB23" w14:textId="77777777" w:rsidR="00552DA0" w:rsidRPr="00552DA0" w:rsidRDefault="00552DA0" w:rsidP="00552DA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neuro-immunology.</w:t>
      </w:r>
    </w:p>
    <w:p w14:paraId="4C2C740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is where the Dual-Optics Parallax may have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particular value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06C45C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encourages the building and the person to be investigated as related but distinct evidence streams.</w:t>
      </w:r>
    </w:p>
    <w:p w14:paraId="34BE9CB8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103D16E">
          <v:rect id="_x0000_i1071" style="width:0;height:1.5pt" o:hralign="center" o:hrstd="t" o:hr="t" fillcolor="#a0a0a0" stroked="f"/>
        </w:pict>
      </w:r>
    </w:p>
    <w:p w14:paraId="0F8F111E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8. Limitations</w:t>
      </w:r>
    </w:p>
    <w:p w14:paraId="7E90704E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limitations are substantial and should be stated explicitly.</w:t>
      </w:r>
    </w:p>
    <w:p w14:paraId="06315A53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 single human cohort demonstrates the complete proposed pathway.</w:t>
      </w:r>
    </w:p>
    <w:p w14:paraId="2E62CA8A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Association does not establish causation.</w:t>
      </w:r>
    </w:p>
    <w:p w14:paraId="1F00E64D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Organisms found orally may be normal residents, opportunistic organisms or established human pathogens and cannot be assumed to originate from a building.</w:t>
      </w:r>
    </w:p>
    <w:p w14:paraId="008FED78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Experimental blood–brain-barrier findings cannot automatically be translated into human environmental exposure.</w:t>
      </w:r>
    </w:p>
    <w:p w14:paraId="2C95D1BD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In-vitro concentrations may differ substantially from concentrations occurring in vivo.</w:t>
      </w:r>
    </w:p>
    <w:p w14:paraId="0A9BFB88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Individual microbiome composition is influenced by dental disease, antibiotics, diet, smoking, age, medication, immune function and numerous other confounders.</w:t>
      </w:r>
    </w:p>
    <w:p w14:paraId="1D0D5468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field-derived swab is hypothesis-generating evidence only.</w:t>
      </w:r>
    </w:p>
    <w:p w14:paraId="236BDA42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Proposed biomarker thresholds require independent validation.</w:t>
      </w:r>
    </w:p>
    <w:p w14:paraId="7BA0E835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Existing evidence for individual neurological conditions varies markedly and should not be treated as a single evidence category.</w:t>
      </w:r>
    </w:p>
    <w:p w14:paraId="66F933B9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CIRS, PANS/PANDAS, Parkinson’s disease, multiple sclerosis and dementia are clinically distinct conditions with different diagnostic criteria and </w:t>
      </w: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pathophysiologies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1422930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Parallel detection of an organism or microbial product in a building and an occupant does not, by itself, prove transmission or causation.</w:t>
      </w:r>
    </w:p>
    <w:p w14:paraId="6232B5E8" w14:textId="77777777" w:rsidR="00552DA0" w:rsidRPr="00552DA0" w:rsidRDefault="00552DA0" w:rsidP="00552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remediation improving symptoms would strengthen the exposure argument but would still not independently prove the proposed oral–sinonasal amplification mechanism.</w:t>
      </w:r>
    </w:p>
    <w:p w14:paraId="4E796A3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limitations do not invalidate the hypothesis.</w:t>
      </w:r>
    </w:p>
    <w:p w14:paraId="22EC7242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They define the research required to test it.</w:t>
      </w:r>
    </w:p>
    <w:p w14:paraId="63E8233E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A861AB8">
          <v:rect id="_x0000_i1072" style="width:0;height:1.5pt" o:hralign="center" o:hrstd="t" o:hr="t" fillcolor="#a0a0a0" stroked="f"/>
        </w:pict>
      </w:r>
    </w:p>
    <w:p w14:paraId="5B9CF67C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9. Conclusion</w:t>
      </w:r>
    </w:p>
    <w:p w14:paraId="2FA8E1A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Evidence from several independent research fields supports a biologically plausible question:</w:t>
      </w:r>
    </w:p>
    <w:p w14:paraId="7CE52E4F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Could environmental exposure </w:t>
      </w:r>
      <w:proofErr w:type="gramStart"/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associated</w:t>
      </w:r>
      <w:proofErr w:type="gramEnd"/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with water-damaged buildings contribute to alteration or persistence of the oral–sinonasal microbiome, and could that dysbiosis subsequently amplify inflammatory burden in susceptible occupants?</w:t>
      </w:r>
    </w:p>
    <w:p w14:paraId="7F2E95D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available evidence does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prove that pathway.</w:t>
      </w:r>
    </w:p>
    <w:p w14:paraId="39365C5A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does show that its individual components merit investigation.</w:t>
      </w:r>
    </w:p>
    <w:p w14:paraId="7581B20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Water-damaged environments can produce biologically active exposures.</w:t>
      </w:r>
    </w:p>
    <w:p w14:paraId="0B986FE6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oral and sinonasal microbiomes can become </w:t>
      </w: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dysbiotic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096FA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Certain oral pathogens and microbial products can influence inflammatory, vascular and neurological pathways experimentally.</w:t>
      </w:r>
    </w:p>
    <w:p w14:paraId="6F0CE36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Environmental exposure can alter airway microbial ecology.</w:t>
      </w:r>
    </w:p>
    <w:p w14:paraId="5C7CFE4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remains missing is the bridge connecting these observations within the same exposed human population.</w:t>
      </w:r>
    </w:p>
    <w:p w14:paraId="42348AA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appropriate next step is therefore not stronger assertion but stronger investigation.</w:t>
      </w:r>
    </w:p>
    <w:p w14:paraId="74B79808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Parallel environmental and oral–sinonasal assessment offers a practical method of studying the relationship while maintaining a clear distinction between:</w:t>
      </w:r>
    </w:p>
    <w:p w14:paraId="42505EAC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environmental evidence, host microbiology, clinical diagnosis and causation.</w:t>
      </w:r>
    </w:p>
    <w:p w14:paraId="204CB864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Until prospective studies establish otherwise, oral/sinonasal testing should remain a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research-use adjunct and risk-information tool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not a diagnostic test for building-related or neurological disease.</w:t>
      </w:r>
    </w:p>
    <w:p w14:paraId="3A4A87E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Dual-Optics Parallax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provides the conceptual framework:</w:t>
      </w:r>
    </w:p>
    <w:p w14:paraId="584B9B61" w14:textId="77777777" w:rsidR="00552DA0" w:rsidRPr="00552DA0" w:rsidRDefault="00552DA0" w:rsidP="0055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examine the building and the person simultaneously, identify converging evidence where it exists, preserve the distinction between association and causation, and test whether an overlooked biological amplifier is present.</w:t>
      </w:r>
    </w:p>
    <w:p w14:paraId="6794AD81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5BBA956">
          <v:rect id="_x0000_i1073" style="width:0;height:1.5pt" o:hralign="center" o:hrstd="t" o:hr="t" fillcolor="#a0a0a0" stroked="f"/>
        </w:pict>
      </w:r>
    </w:p>
    <w:p w14:paraId="4DD122D3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References</w:t>
      </w:r>
    </w:p>
    <w:p w14:paraId="6B31E73F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Akpinar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-Elci M, White S, et al.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American Journal of Industrial Medicine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2013. DOI: 10.1002/ajim.22165.</w:t>
      </w:r>
    </w:p>
    <w:p w14:paraId="7481399E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Ciccotosto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G, Mohammed AI, et al.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Journal of Infectious Diseases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2024;229:1234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–45. DOI: 10.1093/</w:t>
      </w: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infdis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/jiad123.</w:t>
      </w:r>
    </w:p>
    <w:p w14:paraId="1C8C6B98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val="de-DE" w:eastAsia="en-GB"/>
          <w14:ligatures w14:val="none"/>
        </w:rPr>
        <w:t xml:space="preserve">Li F, Ma C-W, et al.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Journal of Clinical Periodontology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2024;51:567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–79. DOI: 10.1111/jcpe.13999.</w:t>
      </w:r>
    </w:p>
    <w:p w14:paraId="5208702C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val="de-DE" w:eastAsia="en-GB"/>
          <w14:ligatures w14:val="none"/>
        </w:rPr>
        <w:t xml:space="preserve">Patel R, Hossain MA, et al.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Mycotoxin Research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2018;34:235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–45. DOI: 10.1007/s12550-018-0320-y.</w:t>
      </w:r>
    </w:p>
    <w:p w14:paraId="28C42C8A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NutriPath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Labs.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Oral Microbiome Mapping #3863047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18 January 2023.</w:t>
      </w:r>
    </w:p>
    <w:p w14:paraId="08ED7AD6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val="de-DE" w:eastAsia="en-GB"/>
          <w14:ligatures w14:val="none"/>
        </w:rPr>
        <w:t xml:space="preserve">Zhang M, Tang H, et al.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Metabolites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2023;13:1040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DOI: 10.3390/metabo13101040.</w:t>
      </w:r>
    </w:p>
    <w:p w14:paraId="198E08E9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Amarasekara N, Jayathilake A, et al. </w:t>
      </w:r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Clinical Oral Investigations</w:t>
      </w: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2024;28:445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–61. DOI: 10.1007/s00784-023-05090-5.</w:t>
      </w:r>
    </w:p>
    <w:p w14:paraId="78F889B7" w14:textId="77777777" w:rsidR="00552DA0" w:rsidRPr="00552DA0" w:rsidRDefault="00552DA0" w:rsidP="00552DA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52DA0">
        <w:rPr>
          <w:rFonts w:ascii="Times New Roman" w:eastAsia="Times New Roman" w:hAnsi="Times New Roman" w:cs="Times New Roman"/>
          <w:kern w:val="0"/>
          <w:lang w:val="de-DE" w:eastAsia="en-GB"/>
          <w14:ligatures w14:val="none"/>
        </w:rPr>
        <w:t>Meklin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val="de-DE" w:eastAsia="en-GB"/>
          <w14:ligatures w14:val="none"/>
        </w:rPr>
        <w:t xml:space="preserve"> T, </w:t>
      </w:r>
      <w:proofErr w:type="spellStart"/>
      <w:r w:rsidRPr="00552DA0">
        <w:rPr>
          <w:rFonts w:ascii="Times New Roman" w:eastAsia="Times New Roman" w:hAnsi="Times New Roman" w:cs="Times New Roman"/>
          <w:kern w:val="0"/>
          <w:lang w:val="de-DE" w:eastAsia="en-GB"/>
          <w14:ligatures w14:val="none"/>
        </w:rPr>
        <w:t>Potus</w:t>
      </w:r>
      <w:proofErr w:type="spellEnd"/>
      <w:r w:rsidRPr="00552DA0">
        <w:rPr>
          <w:rFonts w:ascii="Times New Roman" w:eastAsia="Times New Roman" w:hAnsi="Times New Roman" w:cs="Times New Roman"/>
          <w:kern w:val="0"/>
          <w:lang w:val="de-DE" w:eastAsia="en-GB"/>
          <w14:ligatures w14:val="none"/>
        </w:rPr>
        <w:t xml:space="preserve"> T, et al. </w:t>
      </w:r>
      <w:proofErr w:type="gramStart"/>
      <w:r w:rsidRPr="00552DA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Indoor Air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2005;15:7</w:t>
      </w:r>
      <w:proofErr w:type="gramEnd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–16. DOI: 10.1111/j.1600-0668.2005.</w:t>
      </w:r>
      <w:proofErr w:type="gramStart"/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00357.x.</w:t>
      </w:r>
      <w:proofErr w:type="gramEnd"/>
    </w:p>
    <w:p w14:paraId="71C81EB9" w14:textId="77777777" w:rsidR="00552DA0" w:rsidRPr="00552DA0" w:rsidRDefault="00552DA0" w:rsidP="00552D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B5C18D5">
          <v:rect id="_x0000_i1074" style="width:0;height:1.5pt" o:hralign="center" o:hrstd="t" o:hr="t" fillcolor="#a0a0a0" stroked="f"/>
        </w:pict>
      </w:r>
    </w:p>
    <w:p w14:paraId="254F991E" w14:textId="77777777" w:rsidR="00552DA0" w:rsidRPr="00552DA0" w:rsidRDefault="00552DA0" w:rsidP="00552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Supplementary Material</w:t>
      </w:r>
    </w:p>
    <w:p w14:paraId="79B1DBC0" w14:textId="77777777" w:rsidR="00552DA0" w:rsidRPr="00552DA0" w:rsidRDefault="00552DA0" w:rsidP="00552DA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Figure 2 — Environmental parallels scatterplot.</w:t>
      </w:r>
    </w:p>
    <w:p w14:paraId="37485C5F" w14:textId="77777777" w:rsidR="00552DA0" w:rsidRPr="00552DA0" w:rsidRDefault="00552DA0" w:rsidP="00552DA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Underlying CSV tables.</w:t>
      </w:r>
    </w:p>
    <w:p w14:paraId="6E0C79A8" w14:textId="77777777" w:rsidR="00552DA0" w:rsidRPr="00552DA0" w:rsidRDefault="00552DA0" w:rsidP="00552DA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Field-derived microbiome example.</w:t>
      </w:r>
    </w:p>
    <w:p w14:paraId="6FA4175E" w14:textId="77777777" w:rsidR="00552DA0" w:rsidRPr="00552DA0" w:rsidRDefault="00552DA0" w:rsidP="00552DA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2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Proposed prospective study protocol.</w:t>
      </w:r>
    </w:p>
    <w:p w14:paraId="635E6CAB" w14:textId="77777777" w:rsidR="00552DA0" w:rsidRPr="003B514A" w:rsidRDefault="00552DA0" w:rsidP="003B5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sectPr w:rsidR="00552DA0" w:rsidRPr="003B5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9D7"/>
    <w:multiLevelType w:val="multilevel"/>
    <w:tmpl w:val="5A62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A71F1"/>
    <w:multiLevelType w:val="multilevel"/>
    <w:tmpl w:val="EDF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E235C"/>
    <w:multiLevelType w:val="multilevel"/>
    <w:tmpl w:val="73D4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8214A"/>
    <w:multiLevelType w:val="multilevel"/>
    <w:tmpl w:val="A19A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D78E4"/>
    <w:multiLevelType w:val="multilevel"/>
    <w:tmpl w:val="2150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D2FA6"/>
    <w:multiLevelType w:val="multilevel"/>
    <w:tmpl w:val="678A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97FDA"/>
    <w:multiLevelType w:val="multilevel"/>
    <w:tmpl w:val="5166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D6E3A"/>
    <w:multiLevelType w:val="multilevel"/>
    <w:tmpl w:val="024A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C26D0"/>
    <w:multiLevelType w:val="multilevel"/>
    <w:tmpl w:val="684E1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50386C"/>
    <w:multiLevelType w:val="multilevel"/>
    <w:tmpl w:val="9AB46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8F7E8D"/>
    <w:multiLevelType w:val="multilevel"/>
    <w:tmpl w:val="7238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7027A"/>
    <w:multiLevelType w:val="multilevel"/>
    <w:tmpl w:val="6DC2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55D44"/>
    <w:multiLevelType w:val="multilevel"/>
    <w:tmpl w:val="98BC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9B4EB1"/>
    <w:multiLevelType w:val="multilevel"/>
    <w:tmpl w:val="4BE8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44F18"/>
    <w:multiLevelType w:val="multilevel"/>
    <w:tmpl w:val="092E7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0B51EE"/>
    <w:multiLevelType w:val="multilevel"/>
    <w:tmpl w:val="D38A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781AF8"/>
    <w:multiLevelType w:val="multilevel"/>
    <w:tmpl w:val="8AA8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772210">
    <w:abstractNumId w:val="6"/>
  </w:num>
  <w:num w:numId="2" w16cid:durableId="866063491">
    <w:abstractNumId w:val="5"/>
  </w:num>
  <w:num w:numId="3" w16cid:durableId="1675497007">
    <w:abstractNumId w:val="7"/>
  </w:num>
  <w:num w:numId="4" w16cid:durableId="1029263659">
    <w:abstractNumId w:val="14"/>
  </w:num>
  <w:num w:numId="5" w16cid:durableId="1532643818">
    <w:abstractNumId w:val="3"/>
  </w:num>
  <w:num w:numId="6" w16cid:durableId="461313434">
    <w:abstractNumId w:val="12"/>
  </w:num>
  <w:num w:numId="7" w16cid:durableId="58141178">
    <w:abstractNumId w:val="15"/>
  </w:num>
  <w:num w:numId="8" w16cid:durableId="2040425498">
    <w:abstractNumId w:val="13"/>
  </w:num>
  <w:num w:numId="9" w16cid:durableId="1974407239">
    <w:abstractNumId w:val="16"/>
  </w:num>
  <w:num w:numId="10" w16cid:durableId="1030305525">
    <w:abstractNumId w:val="9"/>
  </w:num>
  <w:num w:numId="11" w16cid:durableId="1531987016">
    <w:abstractNumId w:val="1"/>
  </w:num>
  <w:num w:numId="12" w16cid:durableId="921451163">
    <w:abstractNumId w:val="11"/>
  </w:num>
  <w:num w:numId="13" w16cid:durableId="320235930">
    <w:abstractNumId w:val="4"/>
  </w:num>
  <w:num w:numId="14" w16cid:durableId="128786371">
    <w:abstractNumId w:val="0"/>
  </w:num>
  <w:num w:numId="15" w16cid:durableId="1564094835">
    <w:abstractNumId w:val="10"/>
  </w:num>
  <w:num w:numId="16" w16cid:durableId="151916481">
    <w:abstractNumId w:val="8"/>
  </w:num>
  <w:num w:numId="17" w16cid:durableId="28739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4A"/>
    <w:rsid w:val="00083085"/>
    <w:rsid w:val="000F6E06"/>
    <w:rsid w:val="00211853"/>
    <w:rsid w:val="003B514A"/>
    <w:rsid w:val="00414089"/>
    <w:rsid w:val="004926A9"/>
    <w:rsid w:val="004C1D3C"/>
    <w:rsid w:val="00552DA0"/>
    <w:rsid w:val="00616C75"/>
    <w:rsid w:val="00715D65"/>
    <w:rsid w:val="0072420A"/>
    <w:rsid w:val="00725F38"/>
    <w:rsid w:val="007618DB"/>
    <w:rsid w:val="007A4E8A"/>
    <w:rsid w:val="007C03B4"/>
    <w:rsid w:val="008368F2"/>
    <w:rsid w:val="009243A5"/>
    <w:rsid w:val="00954EC0"/>
    <w:rsid w:val="00967F78"/>
    <w:rsid w:val="009F1DE0"/>
    <w:rsid w:val="00AB7EE2"/>
    <w:rsid w:val="00B94468"/>
    <w:rsid w:val="00BA7AD2"/>
    <w:rsid w:val="00DB2860"/>
    <w:rsid w:val="00E8638A"/>
    <w:rsid w:val="00E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64DD5"/>
  <w15:chartTrackingRefBased/>
  <w15:docId w15:val="{DC8B834E-9035-4C72-AF1D-C58CD527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1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1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1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1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1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1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1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1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1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1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3582</Words>
  <Characters>21497</Characters>
  <Application>Microsoft Office Word</Application>
  <DocSecurity>0</DocSecurity>
  <Lines>796</Lines>
  <Paragraphs>522</Paragraphs>
  <ScaleCrop>false</ScaleCrop>
  <Company/>
  <LinksUpToDate>false</LinksUpToDate>
  <CharactersWithSpaces>24557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charlton</dc:creator>
  <cp:keywords/>
  <dc:description/>
  <cp:lastModifiedBy>jeff charlton</cp:lastModifiedBy>
  <cp:revision>4</cp:revision>
  <cp:lastPrinted>2026-08-09T09:44:00Z</cp:lastPrinted>
  <dcterms:created xsi:type="dcterms:W3CDTF">2026-08-09T09:55:00Z</dcterms:created>
  <dcterms:modified xsi:type="dcterms:W3CDTF">2026-08-09T09:56:00Z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8316ba5d-baa7-431b-a146-16da61c60aab</vt:lpwstr>
  </property>
</Properties>
</file>